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49E5" w14:textId="7CC1EF67" w:rsidR="00B50927" w:rsidRPr="00BE7BD0" w:rsidRDefault="00B50927" w:rsidP="00B509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4C666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491439" w:rsidRPr="00491439">
        <w:rPr>
          <w:b/>
          <w:bCs/>
          <w:noProof/>
          <w:sz w:val="24"/>
          <w:lang w:val="en-US"/>
        </w:rPr>
        <w:t>2400987</w:t>
      </w:r>
      <w:r>
        <w:rPr>
          <w:b/>
          <w:i/>
          <w:noProof/>
          <w:sz w:val="28"/>
        </w:rPr>
        <w:tab/>
      </w:r>
    </w:p>
    <w:p w14:paraId="47E17498" w14:textId="77777777" w:rsidR="00E51F80" w:rsidRPr="00E51F80" w:rsidRDefault="00E51F80" w:rsidP="00E51F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E51F80">
        <w:rPr>
          <w:rFonts w:ascii="Arial" w:eastAsia="MS Mincho" w:hAnsi="Arial" w:cs="Arial"/>
          <w:b/>
          <w:bCs/>
          <w:szCs w:val="22"/>
          <w:lang w:val="en-GB"/>
        </w:rPr>
        <w:t>Athens, Greece, February 26</w:t>
      </w:r>
      <w:r w:rsidRPr="00E51F80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E51F80">
        <w:rPr>
          <w:rFonts w:ascii="Arial" w:eastAsia="MS Mincho" w:hAnsi="Arial" w:cs="Arial"/>
          <w:b/>
          <w:bCs/>
          <w:szCs w:val="22"/>
          <w:lang w:val="en-GB"/>
        </w:rPr>
        <w:t xml:space="preserve"> – March 1</w:t>
      </w:r>
      <w:r w:rsidRPr="00E51F80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st</w:t>
      </w:r>
      <w:r w:rsidRPr="00E51F80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67259F3C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08257AF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55FF2" w:rsidRPr="00B55FF2">
        <w:rPr>
          <w:sz w:val="22"/>
          <w:szCs w:val="22"/>
        </w:rPr>
        <w:t>Remaining ambiguity issues on the 1st Type-2 CG PUSCH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36A05F0" w14:textId="08E78302" w:rsidR="00292F2A" w:rsidRDefault="002900FA" w:rsidP="009427D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>
        <w:rPr>
          <w:sz w:val="20"/>
          <w:szCs w:val="20"/>
          <w:lang w:val="en-GB"/>
        </w:rPr>
        <w:t>1#114</w:t>
      </w:r>
      <w:r w:rsidR="004C6667">
        <w:rPr>
          <w:sz w:val="20"/>
          <w:szCs w:val="20"/>
          <w:lang w:val="en-GB"/>
        </w:rPr>
        <w:t xml:space="preserve">, </w:t>
      </w:r>
      <w:r w:rsidR="00FA5747">
        <w:rPr>
          <w:sz w:val="20"/>
          <w:szCs w:val="20"/>
          <w:lang w:val="en-GB"/>
        </w:rPr>
        <w:t>114b</w:t>
      </w:r>
      <w:r w:rsidR="004C6667">
        <w:rPr>
          <w:sz w:val="20"/>
          <w:szCs w:val="20"/>
          <w:lang w:val="en-GB"/>
        </w:rPr>
        <w:t xml:space="preserve"> and RAN1#115</w:t>
      </w:r>
      <w:r>
        <w:rPr>
          <w:sz w:val="20"/>
          <w:szCs w:val="20"/>
        </w:rPr>
        <w:t xml:space="preserve">, there </w:t>
      </w:r>
      <w:r w:rsidR="004C6667">
        <w:rPr>
          <w:sz w:val="20"/>
          <w:szCs w:val="20"/>
        </w:rPr>
        <w:t>has been</w:t>
      </w:r>
      <w:r>
        <w:rPr>
          <w:sz w:val="20"/>
          <w:szCs w:val="20"/>
        </w:rPr>
        <w:t xml:space="preserve"> discussions on how to interpret different bitfields in the activation DCI for type-2 CG PUSCH</w:t>
      </w:r>
      <w:r w:rsidR="00FA5747">
        <w:rPr>
          <w:sz w:val="20"/>
          <w:szCs w:val="20"/>
        </w:rPr>
        <w:t xml:space="preserve"> [1]. </w:t>
      </w:r>
      <w:r w:rsidR="00292F2A">
        <w:rPr>
          <w:sz w:val="20"/>
          <w:szCs w:val="20"/>
        </w:rPr>
        <w:t xml:space="preserve">As part of such discussions, some useful clarifications were made in the form of </w:t>
      </w:r>
      <w:r w:rsidR="005400CC">
        <w:rPr>
          <w:sz w:val="20"/>
          <w:szCs w:val="20"/>
        </w:rPr>
        <w:t xml:space="preserve">Agreements and/or </w:t>
      </w:r>
      <w:r w:rsidR="00292F2A">
        <w:rPr>
          <w:sz w:val="20"/>
          <w:szCs w:val="20"/>
        </w:rPr>
        <w:t>Conclusions</w:t>
      </w:r>
      <w:r w:rsidR="005400CC">
        <w:rPr>
          <w:sz w:val="20"/>
          <w:szCs w:val="20"/>
        </w:rPr>
        <w:t xml:space="preserve"> </w:t>
      </w:r>
      <w:r w:rsidR="00292F2A">
        <w:rPr>
          <w:sz w:val="20"/>
          <w:szCs w:val="20"/>
        </w:rPr>
        <w:t>in Chair’s notes</w:t>
      </w:r>
      <w:r w:rsidR="00325BF3">
        <w:rPr>
          <w:sz w:val="20"/>
          <w:szCs w:val="20"/>
        </w:rPr>
        <w:t>. As an instance</w:t>
      </w:r>
      <w:r w:rsidR="00292F2A">
        <w:rPr>
          <w:sz w:val="20"/>
          <w:szCs w:val="20"/>
        </w:rPr>
        <w:t xml:space="preserve"> [2]:</w:t>
      </w:r>
    </w:p>
    <w:p w14:paraId="24791AC4" w14:textId="56C5AB25" w:rsidR="00115255" w:rsidRDefault="00292F2A" w:rsidP="005400CC">
      <w:pPr>
        <w:rPr>
          <w:b/>
          <w:bCs/>
          <w:sz w:val="20"/>
          <w:szCs w:val="20"/>
        </w:rPr>
      </w:pPr>
      <w:r w:rsidRPr="00292F2A">
        <w:rPr>
          <w:b/>
          <w:bCs/>
          <w:sz w:val="20"/>
          <w:szCs w:val="20"/>
        </w:rPr>
        <w:t>Conclusion</w:t>
      </w:r>
    </w:p>
    <w:p w14:paraId="635938D6" w14:textId="77777777" w:rsidR="005400CC" w:rsidRPr="005400CC" w:rsidRDefault="005400CC" w:rsidP="005400CC">
      <w:pPr>
        <w:rPr>
          <w:sz w:val="20"/>
          <w:szCs w:val="20"/>
          <w:lang w:val="en-GB"/>
        </w:rPr>
      </w:pPr>
      <w:r w:rsidRPr="005400CC">
        <w:rPr>
          <w:sz w:val="20"/>
          <w:szCs w:val="20"/>
          <w:lang w:val="en-GB"/>
        </w:rPr>
        <w:t xml:space="preserve">The first type 2 CG-PUSCH transmission after associated activation DCI is treated as a CG-PUSCH in PUSCH candidate selection for UCI multiplexing. </w:t>
      </w:r>
    </w:p>
    <w:p w14:paraId="50E7B009" w14:textId="77777777" w:rsidR="005400CC" w:rsidRPr="005400CC" w:rsidRDefault="005400CC" w:rsidP="005400CC">
      <w:pPr>
        <w:rPr>
          <w:b/>
          <w:bCs/>
          <w:sz w:val="20"/>
          <w:szCs w:val="20"/>
        </w:rPr>
      </w:pPr>
    </w:p>
    <w:p w14:paraId="19C097A9" w14:textId="33F3F8DF" w:rsidR="009F04BB" w:rsidRPr="00500DE7" w:rsidRDefault="00325BF3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RAN1#114b</w:t>
      </w:r>
      <w:r w:rsidR="0061371A">
        <w:rPr>
          <w:sz w:val="20"/>
          <w:szCs w:val="20"/>
          <w:lang w:val="en-GB"/>
        </w:rPr>
        <w:t xml:space="preserve"> and 115</w:t>
      </w:r>
      <w:r>
        <w:rPr>
          <w:sz w:val="20"/>
          <w:szCs w:val="20"/>
          <w:lang w:val="en-GB"/>
        </w:rPr>
        <w:t>,</w:t>
      </w:r>
      <w:r w:rsidR="00292F2A">
        <w:rPr>
          <w:sz w:val="20"/>
          <w:szCs w:val="20"/>
          <w:lang w:val="en-GB"/>
        </w:rPr>
        <w:t xml:space="preserve"> it was also</w:t>
      </w:r>
      <w:r w:rsidR="009F04BB">
        <w:rPr>
          <w:sz w:val="20"/>
          <w:szCs w:val="20"/>
          <w:lang w:val="en-GB"/>
        </w:rPr>
        <w:t xml:space="preserve"> discuss</w:t>
      </w:r>
      <w:r w:rsidR="00292F2A">
        <w:rPr>
          <w:sz w:val="20"/>
          <w:szCs w:val="20"/>
          <w:lang w:val="en-GB"/>
        </w:rPr>
        <w:t>ed</w:t>
      </w:r>
      <w:r w:rsidR="009F04BB">
        <w:rPr>
          <w:sz w:val="20"/>
          <w:szCs w:val="20"/>
          <w:lang w:val="en-GB"/>
        </w:rPr>
        <w:t xml:space="preserve"> whether the first PUSCH coming with the activation DCI is considered as a CG or DG, </w:t>
      </w:r>
      <w:r w:rsidR="0061371A">
        <w:rPr>
          <w:sz w:val="20"/>
          <w:szCs w:val="20"/>
          <w:lang w:val="en-GB"/>
        </w:rPr>
        <w:t>for some specific aspects like UCI multiplexing timeline</w:t>
      </w:r>
      <w:r w:rsidR="00C75486">
        <w:rPr>
          <w:sz w:val="20"/>
          <w:szCs w:val="20"/>
          <w:lang w:val="en-GB"/>
        </w:rPr>
        <w:t>.</w:t>
      </w:r>
      <w:r w:rsidR="00292F2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</w:t>
      </w:r>
      <w:r w:rsidR="00C75486">
        <w:rPr>
          <w:sz w:val="20"/>
          <w:szCs w:val="20"/>
          <w:lang w:val="en-GB"/>
        </w:rPr>
        <w:t>n this contribution, we share our views on remaining ambiguities related to type-2 CG PUSCH.</w:t>
      </w:r>
      <w:r w:rsidR="009F04BB">
        <w:rPr>
          <w:sz w:val="20"/>
          <w:szCs w:val="20"/>
          <w:lang w:val="en-GB"/>
        </w:rPr>
        <w:t xml:space="preserve">  </w:t>
      </w:r>
    </w:p>
    <w:p w14:paraId="5A0F1CE1" w14:textId="5F469C62" w:rsidR="00C273F2" w:rsidRDefault="00C273F2" w:rsidP="00C273F2">
      <w:pPr>
        <w:pStyle w:val="Heading1"/>
      </w:pPr>
      <w:r>
        <w:t>Treating 1</w:t>
      </w:r>
      <w:r w:rsidRPr="00073B49">
        <w:rPr>
          <w:vertAlign w:val="superscript"/>
        </w:rPr>
        <w:t>st</w:t>
      </w:r>
      <w:r>
        <w:t xml:space="preserve"> Type-2 CG PUSCH </w:t>
      </w:r>
    </w:p>
    <w:p w14:paraId="55AFCB71" w14:textId="307AB978" w:rsidR="005F7BB4" w:rsidRPr="005F7BB4" w:rsidRDefault="005F7BB4" w:rsidP="005F7BB4">
      <w:pPr>
        <w:jc w:val="both"/>
        <w:rPr>
          <w:sz w:val="20"/>
          <w:szCs w:val="20"/>
        </w:rPr>
      </w:pPr>
      <w:r w:rsidRPr="005F7BB4">
        <w:rPr>
          <w:sz w:val="20"/>
          <w:szCs w:val="20"/>
          <w:lang w:val="en-GB"/>
        </w:rPr>
        <w:t xml:space="preserve">In our view, the first type-2 CG PUSCH that is corresponding to the activation DCI shall be considered as a dynamic grant, from </w:t>
      </w:r>
      <w:r w:rsidR="005847AC">
        <w:rPr>
          <w:sz w:val="20"/>
          <w:szCs w:val="20"/>
          <w:lang w:val="en-GB"/>
        </w:rPr>
        <w:t>any</w:t>
      </w:r>
      <w:r w:rsidRPr="005F7BB4">
        <w:rPr>
          <w:sz w:val="20"/>
          <w:szCs w:val="20"/>
          <w:lang w:val="en-GB"/>
        </w:rPr>
        <w:t xml:space="preserve"> aspect</w:t>
      </w:r>
      <w:r w:rsidR="005847AC">
        <w:rPr>
          <w:sz w:val="20"/>
          <w:szCs w:val="20"/>
          <w:lang w:val="en-GB"/>
        </w:rPr>
        <w:t>s in which timeline matters</w:t>
      </w:r>
      <w:r w:rsidR="0061371A">
        <w:rPr>
          <w:sz w:val="20"/>
          <w:szCs w:val="20"/>
          <w:lang w:val="en-GB"/>
        </w:rPr>
        <w:t>, like</w:t>
      </w:r>
      <w:r w:rsidR="005847AC">
        <w:rPr>
          <w:sz w:val="20"/>
          <w:szCs w:val="20"/>
          <w:lang w:val="en-GB"/>
        </w:rPr>
        <w:t xml:space="preserve"> </w:t>
      </w:r>
      <w:r w:rsidRPr="005F7BB4">
        <w:rPr>
          <w:sz w:val="20"/>
          <w:szCs w:val="20"/>
          <w:lang w:val="en-GB"/>
        </w:rPr>
        <w:t xml:space="preserve">UCI multiplexing timeline, </w:t>
      </w:r>
      <w:r>
        <w:rPr>
          <w:sz w:val="20"/>
          <w:szCs w:val="20"/>
        </w:rPr>
        <w:t>and r</w:t>
      </w:r>
      <w:r w:rsidRPr="005F7BB4">
        <w:rPr>
          <w:sz w:val="20"/>
          <w:szCs w:val="20"/>
        </w:rPr>
        <w:t>eference cell symbol direction for a half-duplex UE in TDD CA</w:t>
      </w:r>
      <w:r>
        <w:rPr>
          <w:sz w:val="20"/>
          <w:szCs w:val="20"/>
        </w:rPr>
        <w:t>.</w:t>
      </w:r>
      <w:r w:rsidR="0061371A">
        <w:rPr>
          <w:sz w:val="20"/>
          <w:szCs w:val="20"/>
        </w:rPr>
        <w:t xml:space="preserve"> </w:t>
      </w:r>
      <w:r w:rsidR="0061371A">
        <w:rPr>
          <w:sz w:val="20"/>
          <w:szCs w:val="20"/>
          <w:lang w:val="en-GB"/>
        </w:rPr>
        <w:t>While for UCI multiplexing timeline the issue is resolved</w:t>
      </w:r>
      <w:r w:rsidR="000931C0">
        <w:rPr>
          <w:sz w:val="20"/>
          <w:szCs w:val="20"/>
          <w:lang w:val="en-GB"/>
        </w:rPr>
        <w:t xml:space="preserve">, where it was clarified that </w:t>
      </w:r>
      <w:r w:rsidR="0061371A">
        <w:rPr>
          <w:sz w:val="20"/>
          <w:szCs w:val="20"/>
          <w:lang w:val="en-GB"/>
        </w:rPr>
        <w:t>multiplexing timeline shall be met for the first Type-2 CG PUSCH, UE behaviour on reference cell symbol direction remains ambiguous.</w:t>
      </w:r>
      <w:r w:rsidR="000E0049">
        <w:rPr>
          <w:sz w:val="20"/>
          <w:szCs w:val="20"/>
          <w:lang w:val="en-GB"/>
        </w:rPr>
        <w:t xml:space="preserve"> In the following, we explain why timeline for activation DCI on the reference cell matters in order a </w:t>
      </w:r>
      <w:r w:rsidR="000E0049" w:rsidRPr="005F7BB4">
        <w:rPr>
          <w:sz w:val="20"/>
          <w:szCs w:val="20"/>
        </w:rPr>
        <w:t>half-duplex UE in TDD CA</w:t>
      </w:r>
      <w:r w:rsidR="000E0049">
        <w:rPr>
          <w:sz w:val="20"/>
          <w:szCs w:val="20"/>
        </w:rPr>
        <w:t xml:space="preserve"> to determine reference cell symbol direction, and what issues may arise if dynamic signaling is involved to determine reference cell symbol direction.</w:t>
      </w:r>
    </w:p>
    <w:p w14:paraId="56C53B7F" w14:textId="09876D71" w:rsidR="00FB2ACF" w:rsidRPr="001236B4" w:rsidRDefault="00FB2ACF" w:rsidP="001236B4">
      <w:pPr>
        <w:jc w:val="both"/>
        <w:rPr>
          <w:sz w:val="20"/>
          <w:szCs w:val="20"/>
          <w:lang w:val="en-GB"/>
        </w:rPr>
      </w:pPr>
    </w:p>
    <w:p w14:paraId="286FD07B" w14:textId="4CB60688" w:rsidR="001D57AE" w:rsidRDefault="001D57AE" w:rsidP="001D57AE">
      <w:pPr>
        <w:pStyle w:val="Heading2"/>
      </w:pPr>
      <w:r w:rsidRPr="001D57AE">
        <w:t>Reference cell symbol direction for a half-duplex UE in TDD CA</w:t>
      </w:r>
    </w:p>
    <w:p w14:paraId="28ABBE99" w14:textId="6A09975A" w:rsidR="00B95E9F" w:rsidRDefault="00F1315F" w:rsidP="00F131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a half-duplex UE in TDD CA, where UE cannot transmit and receive simultaneously, a procedure is defined in </w:t>
      </w:r>
      <w:r w:rsidRPr="00F1315F">
        <w:rPr>
          <w:sz w:val="20"/>
          <w:szCs w:val="20"/>
        </w:rPr>
        <w:t>38.213, 11.1</w:t>
      </w:r>
      <w:r>
        <w:rPr>
          <w:sz w:val="20"/>
          <w:szCs w:val="20"/>
        </w:rPr>
        <w:t xml:space="preserve">, based on which the transmission/reception direction on other serving cells is determined by the symbol direction of the reference cell. </w:t>
      </w:r>
      <w:r w:rsidR="00EC0DB3">
        <w:rPr>
          <w:sz w:val="20"/>
          <w:szCs w:val="20"/>
        </w:rPr>
        <w:t>In our understanding, current</w:t>
      </w:r>
      <w:r>
        <w:rPr>
          <w:sz w:val="20"/>
          <w:szCs w:val="20"/>
        </w:rPr>
        <w:t xml:space="preserve"> procedure to determine the reference cell symbol direction </w:t>
      </w:r>
      <w:r w:rsidR="00497D3E">
        <w:rPr>
          <w:sz w:val="20"/>
          <w:szCs w:val="20"/>
        </w:rPr>
        <w:t>is</w:t>
      </w:r>
      <w:r>
        <w:rPr>
          <w:sz w:val="20"/>
          <w:szCs w:val="20"/>
        </w:rPr>
        <w:t xml:space="preserve"> based on semi-static signaling, given that determination of reference cell symbol direction using dynamic grants corresponding to a DCI </w:t>
      </w:r>
      <w:r w:rsidRPr="00F1315F">
        <w:rPr>
          <w:sz w:val="20"/>
          <w:szCs w:val="20"/>
        </w:rPr>
        <w:t xml:space="preserve">not only </w:t>
      </w:r>
      <w:r>
        <w:rPr>
          <w:sz w:val="20"/>
          <w:szCs w:val="20"/>
        </w:rPr>
        <w:t>makes</w:t>
      </w:r>
      <w:r w:rsidRPr="00F1315F">
        <w:rPr>
          <w:sz w:val="20"/>
          <w:szCs w:val="20"/>
        </w:rPr>
        <w:t xml:space="preserve"> UE implementation </w:t>
      </w:r>
      <w:r>
        <w:rPr>
          <w:sz w:val="20"/>
          <w:szCs w:val="20"/>
        </w:rPr>
        <w:t xml:space="preserve">complicated </w:t>
      </w:r>
      <w:r w:rsidRPr="00F1315F">
        <w:rPr>
          <w:sz w:val="20"/>
          <w:szCs w:val="20"/>
        </w:rPr>
        <w:t xml:space="preserve">but </w:t>
      </w:r>
      <w:r w:rsidR="002926FE">
        <w:rPr>
          <w:sz w:val="20"/>
          <w:szCs w:val="20"/>
        </w:rPr>
        <w:t xml:space="preserve">it can </w:t>
      </w:r>
      <w:r w:rsidRPr="00F1315F">
        <w:rPr>
          <w:sz w:val="20"/>
          <w:szCs w:val="20"/>
        </w:rPr>
        <w:t xml:space="preserve">also result UE and NW not to be on the same pages </w:t>
      </w:r>
      <w:r w:rsidR="00B900F3">
        <w:rPr>
          <w:sz w:val="20"/>
          <w:szCs w:val="20"/>
        </w:rPr>
        <w:t>e.g.,</w:t>
      </w:r>
      <w:r>
        <w:rPr>
          <w:sz w:val="20"/>
          <w:szCs w:val="20"/>
        </w:rPr>
        <w:t xml:space="preserve"> if the DCI is missed. </w:t>
      </w:r>
      <w:r w:rsidR="005847AC">
        <w:rPr>
          <w:sz w:val="20"/>
          <w:szCs w:val="20"/>
        </w:rPr>
        <w:t xml:space="preserve">To be more </w:t>
      </w:r>
      <w:r w:rsidR="001970D3">
        <w:rPr>
          <w:sz w:val="20"/>
          <w:szCs w:val="20"/>
        </w:rPr>
        <w:t>specific</w:t>
      </w:r>
      <w:r w:rsidR="005847AC">
        <w:rPr>
          <w:sz w:val="20"/>
          <w:szCs w:val="20"/>
        </w:rPr>
        <w:t xml:space="preserve">, if UE is dynamically indicated about the reference cell symbol direction, then a timeline needs to be defined and met by </w:t>
      </w:r>
      <w:r w:rsidR="00AC2E43">
        <w:rPr>
          <w:sz w:val="20"/>
          <w:szCs w:val="20"/>
        </w:rPr>
        <w:t xml:space="preserve">the </w:t>
      </w:r>
      <w:r w:rsidR="005847AC">
        <w:rPr>
          <w:sz w:val="20"/>
          <w:szCs w:val="20"/>
        </w:rPr>
        <w:t xml:space="preserve">scheduler if a cancellation on </w:t>
      </w:r>
      <w:proofErr w:type="spellStart"/>
      <w:r w:rsidR="005847AC">
        <w:rPr>
          <w:sz w:val="20"/>
          <w:szCs w:val="20"/>
        </w:rPr>
        <w:t>Scell</w:t>
      </w:r>
      <w:proofErr w:type="spellEnd"/>
      <w:r w:rsidR="005847AC">
        <w:rPr>
          <w:sz w:val="20"/>
          <w:szCs w:val="20"/>
        </w:rPr>
        <w:t xml:space="preserve"> is needed. </w:t>
      </w:r>
    </w:p>
    <w:p w14:paraId="07CC43E0" w14:textId="77777777" w:rsidR="00B95E9F" w:rsidRDefault="00B95E9F" w:rsidP="00F1315F">
      <w:pPr>
        <w:jc w:val="both"/>
        <w:rPr>
          <w:sz w:val="20"/>
          <w:szCs w:val="20"/>
        </w:rPr>
      </w:pPr>
    </w:p>
    <w:p w14:paraId="57F7E605" w14:textId="0A358518" w:rsidR="00B95E9F" w:rsidRDefault="00B95E9F" w:rsidP="00B95E9F">
      <w:pPr>
        <w:jc w:val="center"/>
        <w:rPr>
          <w:sz w:val="20"/>
          <w:szCs w:val="20"/>
        </w:rPr>
      </w:pPr>
      <w:r w:rsidRPr="00B95E9F">
        <w:rPr>
          <w:noProof/>
          <w:sz w:val="20"/>
          <w:szCs w:val="20"/>
        </w:rPr>
        <w:drawing>
          <wp:inline distT="0" distB="0" distL="0" distR="0" wp14:anchorId="423FA849" wp14:editId="04097902">
            <wp:extent cx="2690037" cy="1383788"/>
            <wp:effectExtent l="0" t="0" r="0" b="635"/>
            <wp:docPr id="114685116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51160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1778" cy="1389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E1BAB" w14:textId="77777777" w:rsidR="00ED457E" w:rsidRPr="00AB3976" w:rsidRDefault="00ED457E" w:rsidP="00ED457E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 xml:space="preserve">Fig.1: </w:t>
      </w:r>
      <w:r w:rsidRPr="00662D22">
        <w:rPr>
          <w:b/>
          <w:bCs/>
        </w:rPr>
        <w:t xml:space="preserve">UE procedure to determine </w:t>
      </w:r>
      <w:r w:rsidRPr="00662D22">
        <w:rPr>
          <w:b/>
          <w:bCs/>
          <w:i/>
          <w:iCs/>
        </w:rPr>
        <w:t>K</w:t>
      </w:r>
      <w:r w:rsidRPr="00662D22">
        <w:rPr>
          <w:b/>
          <w:bCs/>
          <w:i/>
          <w:iCs/>
          <w:vertAlign w:val="subscript"/>
        </w:rPr>
        <w:t>2</w:t>
      </w:r>
      <w:r w:rsidRPr="00662D22">
        <w:rPr>
          <w:b/>
          <w:bCs/>
        </w:rPr>
        <w:t xml:space="preserve"> for A-CSI without </w:t>
      </w:r>
      <w:proofErr w:type="gramStart"/>
      <w:r w:rsidRPr="00662D22">
        <w:rPr>
          <w:b/>
          <w:bCs/>
        </w:rPr>
        <w:t>data</w:t>
      </w:r>
      <w:proofErr w:type="gramEnd"/>
    </w:p>
    <w:p w14:paraId="23414F5B" w14:textId="77777777" w:rsidR="00ED457E" w:rsidRDefault="00ED457E" w:rsidP="00B95E9F">
      <w:pPr>
        <w:jc w:val="center"/>
        <w:rPr>
          <w:sz w:val="20"/>
          <w:szCs w:val="20"/>
        </w:rPr>
      </w:pPr>
    </w:p>
    <w:p w14:paraId="2010D5DD" w14:textId="77777777" w:rsidR="00AC2E43" w:rsidRDefault="00EC0DB3" w:rsidP="00F131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Example is shown in Fig.1 where a dynamic grant on </w:t>
      </w:r>
      <w:proofErr w:type="spellStart"/>
      <w:r>
        <w:rPr>
          <w:sz w:val="20"/>
          <w:szCs w:val="20"/>
        </w:rPr>
        <w:t>PCell</w:t>
      </w:r>
      <w:proofErr w:type="spellEnd"/>
      <w:r>
        <w:rPr>
          <w:sz w:val="20"/>
          <w:szCs w:val="20"/>
        </w:rPr>
        <w:t xml:space="preserve"> determines the reference cell symbol direction to be </w:t>
      </w:r>
      <w:r w:rsidR="00B95E9F"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DL, based on which UE is supposed to drop/cancel previously scheduled PUSCH transmission on </w:t>
      </w:r>
      <w:proofErr w:type="spellStart"/>
      <w:r>
        <w:rPr>
          <w:sz w:val="20"/>
          <w:szCs w:val="20"/>
        </w:rPr>
        <w:t>SCell</w:t>
      </w:r>
      <w:proofErr w:type="spellEnd"/>
      <w:r>
        <w:rPr>
          <w:sz w:val="20"/>
          <w:szCs w:val="20"/>
        </w:rPr>
        <w:t xml:space="preserve">, but </w:t>
      </w:r>
      <w:r w:rsidR="00B95E9F">
        <w:rPr>
          <w:sz w:val="20"/>
          <w:szCs w:val="20"/>
        </w:rPr>
        <w:t xml:space="preserve">UE should have received DL-DCI much earlier than starting symbol of PUSCH, so </w:t>
      </w:r>
      <w:r>
        <w:rPr>
          <w:sz w:val="20"/>
          <w:szCs w:val="20"/>
        </w:rPr>
        <w:t xml:space="preserve">the </w:t>
      </w:r>
      <w:r w:rsidR="00B95E9F">
        <w:rPr>
          <w:sz w:val="20"/>
          <w:szCs w:val="20"/>
        </w:rPr>
        <w:t xml:space="preserve">PUSCH </w:t>
      </w:r>
      <w:r>
        <w:rPr>
          <w:sz w:val="20"/>
          <w:szCs w:val="20"/>
        </w:rPr>
        <w:t xml:space="preserve">cancellation timeline </w:t>
      </w:r>
      <w:r w:rsidR="00B95E9F">
        <w:rPr>
          <w:sz w:val="20"/>
          <w:szCs w:val="20"/>
        </w:rPr>
        <w:t xml:space="preserve">can be met, and UE can drop PUSCH transmission in the pipeline. </w:t>
      </w:r>
      <w:r w:rsidR="005847AC">
        <w:rPr>
          <w:sz w:val="20"/>
          <w:szCs w:val="20"/>
        </w:rPr>
        <w:t xml:space="preserve">This is a regular procedure in current specification where examples could be found for instance </w:t>
      </w:r>
      <w:r w:rsidR="00AC2E43">
        <w:rPr>
          <w:sz w:val="20"/>
          <w:szCs w:val="20"/>
        </w:rPr>
        <w:t>when</w:t>
      </w:r>
      <w:r w:rsidR="005847AC">
        <w:rPr>
          <w:sz w:val="20"/>
          <w:szCs w:val="20"/>
        </w:rPr>
        <w:t xml:space="preserve"> dynamic SFI or a dynamic grant </w:t>
      </w:r>
      <w:r w:rsidR="00AC2E43">
        <w:rPr>
          <w:sz w:val="20"/>
          <w:szCs w:val="20"/>
        </w:rPr>
        <w:t>indicates</w:t>
      </w:r>
      <w:r w:rsidR="005847AC">
        <w:rPr>
          <w:sz w:val="20"/>
          <w:szCs w:val="20"/>
        </w:rPr>
        <w:t xml:space="preserve"> </w:t>
      </w:r>
      <w:r w:rsidR="001970D3">
        <w:rPr>
          <w:sz w:val="20"/>
          <w:szCs w:val="20"/>
        </w:rPr>
        <w:t xml:space="preserve">cancellation of </w:t>
      </w:r>
      <w:r w:rsidR="00AC2E43">
        <w:rPr>
          <w:sz w:val="20"/>
          <w:szCs w:val="20"/>
        </w:rPr>
        <w:t>higher layer configured</w:t>
      </w:r>
      <w:r w:rsidR="001970D3">
        <w:rPr>
          <w:sz w:val="20"/>
          <w:szCs w:val="20"/>
        </w:rPr>
        <w:t xml:space="preserve"> grant due to symbol direction conflict</w:t>
      </w:r>
      <w:r w:rsidR="005847AC">
        <w:rPr>
          <w:sz w:val="20"/>
          <w:szCs w:val="20"/>
        </w:rPr>
        <w:t xml:space="preserve">. </w:t>
      </w:r>
    </w:p>
    <w:p w14:paraId="706FBC66" w14:textId="77777777" w:rsidR="00AC2E43" w:rsidRDefault="00AC2E43" w:rsidP="00F1315F">
      <w:pPr>
        <w:jc w:val="both"/>
        <w:rPr>
          <w:sz w:val="20"/>
          <w:szCs w:val="20"/>
        </w:rPr>
      </w:pPr>
    </w:p>
    <w:p w14:paraId="1DD8451A" w14:textId="688733FC" w:rsidR="00AC2E43" w:rsidRDefault="00AC2E43" w:rsidP="00AC2E43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>
        <w:rPr>
          <w:b/>
          <w:bCs/>
          <w:i/>
          <w:iCs/>
          <w:lang w:val="en-US" w:eastAsia="zh-CN"/>
        </w:rPr>
        <w:t>Observation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 xml:space="preserve">for a half-duplex UE in TDD CA, reference cell symbol direction cannot be determined dynamically. </w:t>
      </w:r>
    </w:p>
    <w:p w14:paraId="4D27D631" w14:textId="77777777" w:rsidR="00AC2E43" w:rsidRDefault="00AC2E43" w:rsidP="00F1315F">
      <w:pPr>
        <w:jc w:val="both"/>
        <w:rPr>
          <w:sz w:val="20"/>
          <w:szCs w:val="20"/>
        </w:rPr>
      </w:pPr>
    </w:p>
    <w:p w14:paraId="53417095" w14:textId="59C666C2" w:rsidR="00F1315F" w:rsidRDefault="00AC2E43" w:rsidP="00F1315F">
      <w:pPr>
        <w:jc w:val="both"/>
        <w:rPr>
          <w:sz w:val="20"/>
          <w:szCs w:val="20"/>
        </w:rPr>
      </w:pPr>
      <w:r>
        <w:rPr>
          <w:sz w:val="20"/>
          <w:szCs w:val="20"/>
        </w:rPr>
        <w:t>In addition, t</w:t>
      </w:r>
      <w:r w:rsidR="002926FE">
        <w:rPr>
          <w:sz w:val="20"/>
          <w:szCs w:val="20"/>
        </w:rPr>
        <w:t>he</w:t>
      </w:r>
      <w:r w:rsidR="00F1315F">
        <w:rPr>
          <w:sz w:val="20"/>
          <w:szCs w:val="20"/>
        </w:rPr>
        <w:t xml:space="preserve"> existence of the first type-2 PUSCH </w:t>
      </w:r>
      <w:r>
        <w:rPr>
          <w:sz w:val="20"/>
          <w:szCs w:val="20"/>
        </w:rPr>
        <w:t xml:space="preserve">(in time/frequency, 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 xml:space="preserve">) </w:t>
      </w:r>
      <w:r w:rsidR="00F1315F">
        <w:rPr>
          <w:sz w:val="20"/>
          <w:szCs w:val="20"/>
        </w:rPr>
        <w:t>is not known to the UE before detection of the activation DCI, which consequently makes the first type-2 PUSCH to be a DG</w:t>
      </w:r>
      <w:r w:rsidR="001970D3">
        <w:rPr>
          <w:sz w:val="20"/>
          <w:szCs w:val="20"/>
        </w:rPr>
        <w:t xml:space="preserve"> when it goes to timeline</w:t>
      </w:r>
      <w:r w:rsidR="00F1315F">
        <w:rPr>
          <w:sz w:val="20"/>
          <w:szCs w:val="20"/>
        </w:rPr>
        <w:t xml:space="preserve">. Thus, </w:t>
      </w:r>
      <w:r w:rsidR="002926FE">
        <w:rPr>
          <w:sz w:val="20"/>
          <w:szCs w:val="20"/>
        </w:rPr>
        <w:t>like</w:t>
      </w:r>
      <w:r w:rsidR="00F1315F">
        <w:rPr>
          <w:sz w:val="20"/>
          <w:szCs w:val="20"/>
        </w:rPr>
        <w:t xml:space="preserve"> any other DG, the first type-2 PUSCH cannot be used to determine reference cell symbol direction.</w:t>
      </w:r>
      <w:r w:rsidR="00B95E9F">
        <w:rPr>
          <w:sz w:val="20"/>
          <w:szCs w:val="20"/>
        </w:rPr>
        <w:t xml:space="preserve"> </w:t>
      </w:r>
    </w:p>
    <w:p w14:paraId="16266E1E" w14:textId="77777777" w:rsidR="00062630" w:rsidRDefault="00062630" w:rsidP="00F1315F">
      <w:pPr>
        <w:jc w:val="both"/>
        <w:rPr>
          <w:sz w:val="20"/>
          <w:szCs w:val="20"/>
        </w:rPr>
      </w:pPr>
    </w:p>
    <w:p w14:paraId="57788AE2" w14:textId="6FA4B230" w:rsidR="00062630" w:rsidRDefault="00062630" w:rsidP="00F131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Based on </w:t>
      </w:r>
      <w:r w:rsidR="00BB277F">
        <w:rPr>
          <w:sz w:val="20"/>
          <w:szCs w:val="20"/>
        </w:rPr>
        <w:t>the above discussions</w:t>
      </w:r>
      <w:r>
        <w:rPr>
          <w:sz w:val="20"/>
          <w:szCs w:val="20"/>
        </w:rPr>
        <w:t xml:space="preserve">, </w:t>
      </w:r>
      <w:r w:rsidR="00BB277F">
        <w:rPr>
          <w:sz w:val="20"/>
          <w:szCs w:val="20"/>
        </w:rPr>
        <w:t>we have the</w:t>
      </w:r>
      <w:r>
        <w:rPr>
          <w:sz w:val="20"/>
          <w:szCs w:val="20"/>
        </w:rPr>
        <w:t xml:space="preserve"> following proposal:</w:t>
      </w:r>
    </w:p>
    <w:p w14:paraId="5929FD2F" w14:textId="6C81C058" w:rsidR="00062630" w:rsidRPr="002926FE" w:rsidRDefault="00062630" w:rsidP="00AC2E43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 w:rsidR="00BB277F">
        <w:rPr>
          <w:b/>
          <w:bCs/>
          <w:i/>
          <w:iCs/>
        </w:rPr>
        <w:t>UE is not expected to determine r</w:t>
      </w:r>
      <w:r w:rsidR="00BB277F" w:rsidRPr="00062630">
        <w:rPr>
          <w:b/>
          <w:bCs/>
          <w:i/>
          <w:iCs/>
        </w:rPr>
        <w:t>eference cell symbol direction for a half-duplex UE in TDD CA</w:t>
      </w:r>
      <w:r w:rsidR="00BB277F">
        <w:rPr>
          <w:b/>
          <w:bCs/>
          <w:i/>
          <w:iCs/>
        </w:rPr>
        <w:t xml:space="preserve"> based on the first Type-2 CG PUSCH on the reference cell</w:t>
      </w:r>
      <w:r w:rsidR="00FE6A6A">
        <w:rPr>
          <w:b/>
          <w:bCs/>
          <w:i/>
          <w:iCs/>
        </w:rPr>
        <w:t>.</w:t>
      </w:r>
    </w:p>
    <w:p w14:paraId="7227FA7F" w14:textId="77777777" w:rsidR="00B419BD" w:rsidRDefault="00B419BD" w:rsidP="005847AC">
      <w:pPr>
        <w:jc w:val="both"/>
        <w:rPr>
          <w:sz w:val="20"/>
          <w:szCs w:val="20"/>
        </w:rPr>
      </w:pPr>
    </w:p>
    <w:p w14:paraId="0DAD872C" w14:textId="20A24E6B" w:rsidR="00B900F3" w:rsidRPr="00882498" w:rsidRDefault="000E0049" w:rsidP="005847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clarify </w:t>
      </w:r>
      <w:r w:rsidR="00AC2E43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specification and UE behavior, </w:t>
      </w:r>
      <w:r w:rsidR="00B419BD">
        <w:rPr>
          <w:sz w:val="20"/>
          <w:szCs w:val="20"/>
        </w:rPr>
        <w:t xml:space="preserve">and to avoid further changes like introducing cancellation timeline for a half-duplex UE in CA TDD, </w:t>
      </w:r>
      <w:r>
        <w:rPr>
          <w:sz w:val="20"/>
          <w:szCs w:val="20"/>
        </w:rPr>
        <w:t xml:space="preserve">we propose the </w:t>
      </w:r>
      <w:r w:rsidRPr="009A465E">
        <w:rPr>
          <w:color w:val="000000" w:themeColor="text1"/>
          <w:sz w:val="20"/>
          <w:szCs w:val="20"/>
        </w:rPr>
        <w:t xml:space="preserve">following </w:t>
      </w:r>
      <w:r w:rsidR="009A465E" w:rsidRPr="009A465E">
        <w:rPr>
          <w:color w:val="FF0000"/>
          <w:sz w:val="20"/>
          <w:szCs w:val="20"/>
        </w:rPr>
        <w:t>modification</w:t>
      </w:r>
      <w:r w:rsidRPr="009A465E"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to 38.213 Clause 11.1, </w:t>
      </w:r>
      <w:r w:rsidR="009A465E">
        <w:rPr>
          <w:sz w:val="20"/>
          <w:szCs w:val="20"/>
        </w:rPr>
        <w:t>to exclude DCI based indications to determine reference cell symbol direction. It should be note that the proposed change</w:t>
      </w:r>
      <w:r>
        <w:rPr>
          <w:sz w:val="20"/>
          <w:szCs w:val="20"/>
        </w:rPr>
        <w:t xml:space="preserve"> is consistent with the rest of Clause</w:t>
      </w:r>
      <w:r w:rsidR="009A465E">
        <w:rPr>
          <w:sz w:val="20"/>
          <w:szCs w:val="20"/>
        </w:rPr>
        <w:t xml:space="preserve"> 11.1</w:t>
      </w:r>
      <w:r>
        <w:rPr>
          <w:sz w:val="20"/>
          <w:szCs w:val="20"/>
        </w:rPr>
        <w:t xml:space="preserve">. </w:t>
      </w:r>
    </w:p>
    <w:p w14:paraId="62B9B81E" w14:textId="77777777" w:rsidR="00B431D4" w:rsidRPr="00C273F2" w:rsidRDefault="00B431D4" w:rsidP="00C273F2">
      <w:pPr>
        <w:jc w:val="both"/>
        <w:rPr>
          <w:rFonts w:cs="Batang"/>
          <w:sz w:val="20"/>
          <w:szCs w:val="20"/>
          <w:lang w:val="en-GB" w:eastAsia="en-US"/>
        </w:rPr>
      </w:pPr>
    </w:p>
    <w:p w14:paraId="6534AAE8" w14:textId="77777777" w:rsidR="00D826DD" w:rsidRPr="005D3E89" w:rsidRDefault="00D826DD" w:rsidP="00D826DD">
      <w:pPr>
        <w:tabs>
          <w:tab w:val="left" w:pos="640"/>
        </w:tabs>
        <w:jc w:val="both"/>
        <w:rPr>
          <w:rFonts w:cs="Batang"/>
          <w:sz w:val="20"/>
          <w:szCs w:val="20"/>
          <w:lang w:eastAsia="en-US"/>
        </w:rPr>
      </w:pP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4B5A99" w14:paraId="7A8A0F7B" w14:textId="77777777" w:rsidTr="004E2662">
        <w:tc>
          <w:tcPr>
            <w:tcW w:w="9288" w:type="dxa"/>
          </w:tcPr>
          <w:p w14:paraId="4310023F" w14:textId="317E0A9E" w:rsidR="004B5A99" w:rsidRPr="00BC36B8" w:rsidRDefault="00AE0162" w:rsidP="004E2662">
            <w:pPr>
              <w:keepNext/>
              <w:spacing w:before="120"/>
              <w:outlineLvl w:val="3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11</w:t>
            </w:r>
            <w:r w:rsidR="004B5A99" w:rsidRPr="00BC36B8">
              <w:rPr>
                <w:rFonts w:ascii="Arial" w:eastAsia="Arial" w:hAnsi="Arial"/>
                <w:color w:val="000000"/>
                <w:sz w:val="20"/>
                <w:szCs w:val="20"/>
              </w:rPr>
              <w:t>.1</w:t>
            </w:r>
            <w:r w:rsidR="004B5A99" w:rsidRPr="00BC36B8">
              <w:rPr>
                <w:rFonts w:ascii="Arial" w:eastAsia="Arial" w:hAnsi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Slot configuration</w:t>
            </w:r>
          </w:p>
          <w:p w14:paraId="583311E9" w14:textId="77777777" w:rsidR="004B5A99" w:rsidRPr="001438AF" w:rsidRDefault="004B5A99" w:rsidP="004E2662">
            <w:pPr>
              <w:spacing w:after="180"/>
              <w:jc w:val="center"/>
              <w:rPr>
                <w:color w:val="000000"/>
              </w:rPr>
            </w:pPr>
            <w:r>
              <w:rPr>
                <w:color w:val="FF0000"/>
                <w:sz w:val="20"/>
                <w:szCs w:val="20"/>
                <w:lang w:val="x-none"/>
              </w:rPr>
              <w:t>&lt;text unchanged are omitted&gt;</w:t>
            </w:r>
          </w:p>
          <w:p w14:paraId="3A430E7B" w14:textId="77777777" w:rsidR="004B5A99" w:rsidRPr="00ED457E" w:rsidRDefault="004B5A99" w:rsidP="004E2662">
            <w:pPr>
              <w:rPr>
                <w:sz w:val="20"/>
                <w:szCs w:val="20"/>
              </w:rPr>
            </w:pPr>
            <w:r w:rsidRPr="00ED457E">
              <w:rPr>
                <w:sz w:val="20"/>
                <w:szCs w:val="20"/>
                <w:lang w:eastAsia="fr-FR"/>
              </w:rPr>
              <w:t>If a</w:t>
            </w:r>
            <w:r w:rsidRPr="00ED457E">
              <w:rPr>
                <w:sz w:val="20"/>
                <w:szCs w:val="20"/>
              </w:rPr>
              <w:t xml:space="preserve"> UE</w:t>
            </w:r>
          </w:p>
          <w:p w14:paraId="398F61AC" w14:textId="77777777" w:rsidR="004B5A99" w:rsidRPr="00ED457E" w:rsidRDefault="004B5A99" w:rsidP="004E2662">
            <w:pPr>
              <w:pStyle w:val="B1"/>
              <w:rPr>
                <w:lang w:val="en-US"/>
              </w:rPr>
            </w:pPr>
            <w:r w:rsidRPr="00ED457E">
              <w:rPr>
                <w:lang w:val="en-US"/>
              </w:rPr>
              <w:t>-</w:t>
            </w:r>
            <w:r w:rsidRPr="00ED457E">
              <w:rPr>
                <w:lang w:val="en-US"/>
              </w:rPr>
              <w:tab/>
              <w:t xml:space="preserve">is configured with multiple serving cells and is provided </w:t>
            </w:r>
            <w:r w:rsidRPr="00ED457E">
              <w:t xml:space="preserve">with </w:t>
            </w:r>
            <w:r w:rsidRPr="00ED457E">
              <w:rPr>
                <w:i/>
              </w:rPr>
              <w:t>directionalCollisionHandling-r16</w:t>
            </w:r>
            <w:r w:rsidRPr="00ED457E">
              <w:rPr>
                <w:i/>
                <w:lang w:val="en-US"/>
              </w:rPr>
              <w:t xml:space="preserve"> </w:t>
            </w:r>
            <w:r w:rsidRPr="00ED457E">
              <w:rPr>
                <w:lang w:val="en-US"/>
              </w:rPr>
              <w:t xml:space="preserve">= 'enabled' </w:t>
            </w:r>
            <w:r w:rsidRPr="00ED457E">
              <w:t>for a set of serving cell(s) among the configured multiple serving cells</w:t>
            </w:r>
            <w:r w:rsidRPr="00ED457E">
              <w:rPr>
                <w:lang w:val="en-US"/>
              </w:rPr>
              <w:t>, and</w:t>
            </w:r>
          </w:p>
          <w:p w14:paraId="4CA2C6EB" w14:textId="77777777" w:rsidR="004B5A99" w:rsidRPr="00ED457E" w:rsidRDefault="004B5A99" w:rsidP="004E2662">
            <w:pPr>
              <w:pStyle w:val="B1"/>
              <w:rPr>
                <w:lang w:val="en-US"/>
              </w:rPr>
            </w:pPr>
            <w:r w:rsidRPr="00ED457E">
              <w:rPr>
                <w:lang w:val="en-US"/>
              </w:rPr>
              <w:t>-</w:t>
            </w:r>
            <w:r w:rsidRPr="00ED457E">
              <w:rPr>
                <w:lang w:val="en-US"/>
              </w:rPr>
              <w:tab/>
              <w:t xml:space="preserve">indicates support of </w:t>
            </w:r>
            <w:r w:rsidRPr="00ED457E">
              <w:rPr>
                <w:rFonts w:eastAsia="MS Mincho"/>
                <w:i/>
                <w:iCs/>
                <w:color w:val="000000"/>
              </w:rPr>
              <w:t xml:space="preserve">half-DuplexTDD-CA-SameSCS-r16 </w:t>
            </w:r>
            <w:r w:rsidRPr="00ED457E">
              <w:rPr>
                <w:rFonts w:eastAsia="MS Mincho"/>
                <w:color w:val="000000"/>
              </w:rPr>
              <w:t>capability</w:t>
            </w:r>
            <w:r w:rsidRPr="00ED457E">
              <w:rPr>
                <w:lang w:val="en-US"/>
              </w:rPr>
              <w:t xml:space="preserve">, and </w:t>
            </w:r>
          </w:p>
          <w:p w14:paraId="1BB6117F" w14:textId="77777777" w:rsidR="004B5A99" w:rsidRPr="00ED457E" w:rsidRDefault="004B5A99" w:rsidP="004E2662">
            <w:pPr>
              <w:pStyle w:val="B1"/>
              <w:rPr>
                <w:lang w:val="en-US"/>
              </w:rPr>
            </w:pPr>
            <w:r w:rsidRPr="00ED457E">
              <w:rPr>
                <w:lang w:val="en-US"/>
              </w:rPr>
              <w:t>-</w:t>
            </w:r>
            <w:r w:rsidRPr="00ED457E">
              <w:rPr>
                <w:lang w:val="en-US"/>
              </w:rPr>
              <w:tab/>
              <w:t>is not configured to monitor PDCCH for detection of DCI format 2_0</w:t>
            </w:r>
            <w:r w:rsidRPr="00ED457E">
              <w:rPr>
                <w:rFonts w:eastAsia="DengXian"/>
                <w:lang w:eastAsia="zh-CN"/>
              </w:rPr>
              <w:t xml:space="preserve"> on any of the multiple serving cells</w:t>
            </w:r>
            <w:r w:rsidRPr="00ED457E">
              <w:rPr>
                <w:lang w:val="en-US"/>
              </w:rPr>
              <w:t xml:space="preserve">, </w:t>
            </w:r>
          </w:p>
          <w:p w14:paraId="32C9ECBC" w14:textId="77777777" w:rsidR="004B5A99" w:rsidRPr="00ED457E" w:rsidRDefault="004B5A99" w:rsidP="004E2662">
            <w:pPr>
              <w:rPr>
                <w:sz w:val="20"/>
                <w:szCs w:val="20"/>
              </w:rPr>
            </w:pPr>
            <w:r w:rsidRPr="00ED457E">
              <w:rPr>
                <w:sz w:val="20"/>
                <w:szCs w:val="20"/>
              </w:rPr>
              <w:t xml:space="preserve">the UE determines a reference cell for a symbol as an active cell with the smallest cell index among </w:t>
            </w:r>
          </w:p>
          <w:p w14:paraId="078BB999" w14:textId="77777777" w:rsidR="004B5A99" w:rsidRPr="00ED457E" w:rsidRDefault="004B5A99" w:rsidP="004E2662">
            <w:pPr>
              <w:pStyle w:val="B1"/>
            </w:pPr>
            <w:r w:rsidRPr="00ED457E">
              <w:t>-</w:t>
            </w:r>
            <w:r w:rsidRPr="00ED457E">
              <w:tab/>
              <w:t xml:space="preserve">the configured multiple serving cells if the UE is not capable of simultaneous transmission and reception as indicated by </w:t>
            </w:r>
            <w:proofErr w:type="spellStart"/>
            <w:r w:rsidRPr="00ED457E">
              <w:rPr>
                <w:i/>
                <w:iCs/>
              </w:rPr>
              <w:t>simultaneousRxTxInterBandCA</w:t>
            </w:r>
            <w:proofErr w:type="spellEnd"/>
            <w:r w:rsidRPr="00ED457E">
              <w:t xml:space="preserve"> among the multiple serving cells, and</w:t>
            </w:r>
          </w:p>
          <w:p w14:paraId="165BD922" w14:textId="77777777" w:rsidR="004B5A99" w:rsidRPr="00ED457E" w:rsidRDefault="004B5A99" w:rsidP="004E2662">
            <w:pPr>
              <w:pStyle w:val="B1"/>
            </w:pPr>
            <w:r w:rsidRPr="00ED457E">
              <w:t>-</w:t>
            </w:r>
            <w:r w:rsidRPr="00ED457E">
              <w:tab/>
              <w:t xml:space="preserve">the cells of each band respectively if the UE is capable of simultaneous transmission and reception by </w:t>
            </w:r>
            <w:proofErr w:type="spellStart"/>
            <w:r w:rsidRPr="00ED457E">
              <w:rPr>
                <w:i/>
                <w:iCs/>
              </w:rPr>
              <w:t>simultaneousRxTxInterBandCA</w:t>
            </w:r>
            <w:proofErr w:type="spellEnd"/>
            <w:r w:rsidRPr="00ED457E">
              <w:t xml:space="preserve"> for the configured multiple serving cells,</w:t>
            </w:r>
          </w:p>
          <w:p w14:paraId="5CA5A9D1" w14:textId="77777777" w:rsidR="004B5A99" w:rsidRPr="00ED457E" w:rsidRDefault="004B5A99" w:rsidP="004E2662">
            <w:pPr>
              <w:rPr>
                <w:sz w:val="20"/>
                <w:szCs w:val="20"/>
              </w:rPr>
            </w:pPr>
            <w:r w:rsidRPr="00ED457E">
              <w:rPr>
                <w:sz w:val="20"/>
                <w:szCs w:val="20"/>
              </w:rPr>
              <w:t>where the symbol is configured as</w:t>
            </w:r>
          </w:p>
          <w:p w14:paraId="5A70A72B" w14:textId="77777777" w:rsidR="004B5A99" w:rsidRPr="00ED457E" w:rsidRDefault="004B5A99" w:rsidP="004E2662">
            <w:pPr>
              <w:pStyle w:val="B1"/>
              <w:rPr>
                <w:i/>
                <w:iCs/>
                <w:lang w:val="en-US"/>
              </w:rPr>
            </w:pPr>
            <w:r w:rsidRPr="00ED457E">
              <w:rPr>
                <w:lang w:val="en-US"/>
              </w:rPr>
              <w:t>-</w:t>
            </w:r>
            <w:r w:rsidRPr="00ED457E">
              <w:rPr>
                <w:lang w:val="en-US"/>
              </w:rPr>
              <w:tab/>
              <w:t xml:space="preserve">downlink, or uplink, as indicated by </w:t>
            </w:r>
            <w:proofErr w:type="spellStart"/>
            <w:r w:rsidRPr="00ED457E">
              <w:rPr>
                <w:i/>
                <w:iCs/>
                <w:lang w:val="en-US"/>
              </w:rPr>
              <w:t>tdd</w:t>
            </w:r>
            <w:proofErr w:type="spellEnd"/>
            <w:r w:rsidRPr="00ED457E">
              <w:rPr>
                <w:i/>
                <w:iCs/>
                <w:lang w:val="en-US"/>
              </w:rPr>
              <w:t>-UL-DL-</w:t>
            </w:r>
            <w:proofErr w:type="spellStart"/>
            <w:r w:rsidRPr="00ED457E">
              <w:rPr>
                <w:i/>
                <w:iCs/>
                <w:lang w:val="en-US"/>
              </w:rPr>
              <w:t>ConfigurationCommon</w:t>
            </w:r>
            <w:proofErr w:type="spellEnd"/>
            <w:r w:rsidRPr="00ED457E">
              <w:rPr>
                <w:lang w:val="en-US"/>
              </w:rPr>
              <w:t xml:space="preserve"> or </w:t>
            </w:r>
            <w:proofErr w:type="spellStart"/>
            <w:r w:rsidRPr="00ED457E">
              <w:rPr>
                <w:i/>
                <w:iCs/>
                <w:lang w:val="en-US"/>
              </w:rPr>
              <w:t>tdd</w:t>
            </w:r>
            <w:proofErr w:type="spellEnd"/>
            <w:r w:rsidRPr="00ED457E">
              <w:rPr>
                <w:i/>
                <w:iCs/>
                <w:lang w:val="en-US"/>
              </w:rPr>
              <w:t>-UL-DL-</w:t>
            </w:r>
            <w:proofErr w:type="spellStart"/>
            <w:r w:rsidRPr="00ED457E">
              <w:rPr>
                <w:i/>
                <w:iCs/>
                <w:lang w:val="en-US"/>
              </w:rPr>
              <w:t>ConfigurationDedicated</w:t>
            </w:r>
            <w:proofErr w:type="spellEnd"/>
          </w:p>
          <w:p w14:paraId="2EC9FA35" w14:textId="1DEB500E" w:rsidR="004B5A99" w:rsidRPr="00ED457E" w:rsidRDefault="004B5A99" w:rsidP="004E2662">
            <w:pPr>
              <w:pStyle w:val="B1"/>
              <w:rPr>
                <w:lang w:val="en-US"/>
              </w:rPr>
            </w:pPr>
            <w:r w:rsidRPr="00ED457E">
              <w:rPr>
                <w:lang w:val="en-US"/>
              </w:rPr>
              <w:t>-</w:t>
            </w:r>
            <w:r w:rsidRPr="00ED457E">
              <w:rPr>
                <w:lang w:val="en-US"/>
              </w:rPr>
              <w:tab/>
              <w:t>uplink, if the symbol is flexible and the UE is</w:t>
            </w:r>
            <w:r w:rsidRPr="00ED457E">
              <w:rPr>
                <w:bCs/>
                <w:lang w:val="en-US"/>
              </w:rPr>
              <w:t xml:space="preserve"> </w:t>
            </w:r>
            <w:r w:rsidR="00C51640">
              <w:rPr>
                <w:bCs/>
                <w:color w:val="FF0000"/>
                <w:lang w:val="en-US"/>
              </w:rPr>
              <w:t>by h</w:t>
            </w:r>
            <w:r w:rsidR="00ED457E" w:rsidRPr="00ED457E">
              <w:rPr>
                <w:bCs/>
                <w:color w:val="FF0000"/>
                <w:lang w:val="en-US"/>
              </w:rPr>
              <w:t xml:space="preserve">igher layer </w:t>
            </w:r>
            <w:r w:rsidRPr="00ED457E">
              <w:rPr>
                <w:bCs/>
                <w:lang w:val="en-US"/>
              </w:rPr>
              <w:t xml:space="preserve">configured to transmit </w:t>
            </w:r>
            <w:r w:rsidRPr="00ED457E">
              <w:rPr>
                <w:lang w:val="en-US"/>
              </w:rPr>
              <w:t>SRS, PUCCH, PUSCH, or PRACH on the symbol</w:t>
            </w:r>
          </w:p>
          <w:p w14:paraId="15909813" w14:textId="0AA87E1E" w:rsidR="004B5A99" w:rsidRPr="00ED457E" w:rsidRDefault="004B5A99" w:rsidP="004E2662">
            <w:pPr>
              <w:pStyle w:val="B1"/>
              <w:rPr>
                <w:lang w:val="en-US"/>
              </w:rPr>
            </w:pPr>
            <w:r w:rsidRPr="00ED457E">
              <w:rPr>
                <w:lang w:val="en-US"/>
              </w:rPr>
              <w:t>-</w:t>
            </w:r>
            <w:r w:rsidRPr="00ED457E">
              <w:rPr>
                <w:lang w:val="en-US"/>
              </w:rPr>
              <w:tab/>
              <w:t xml:space="preserve">downlink, if the symbol is flexible and the UE is </w:t>
            </w:r>
            <w:r w:rsidR="00C51640">
              <w:rPr>
                <w:color w:val="FF0000"/>
                <w:lang w:val="en-US"/>
              </w:rPr>
              <w:t>by h</w:t>
            </w:r>
            <w:r w:rsidR="00ED457E" w:rsidRPr="00ED457E">
              <w:rPr>
                <w:color w:val="FF0000"/>
                <w:lang w:val="en-US"/>
              </w:rPr>
              <w:t xml:space="preserve">igher layer </w:t>
            </w:r>
            <w:r w:rsidRPr="00ED457E">
              <w:rPr>
                <w:lang w:val="en-US"/>
              </w:rPr>
              <w:t xml:space="preserve">configured to receive PDCCH, PDSCH or CSI-RS on the symbol. </w:t>
            </w:r>
          </w:p>
          <w:p w14:paraId="6726DC0E" w14:textId="77777777" w:rsidR="004B5A99" w:rsidRDefault="004B5A99" w:rsidP="004E2662">
            <w:pPr>
              <w:spacing w:after="180"/>
              <w:ind w:left="720"/>
              <w:jc w:val="center"/>
              <w:rPr>
                <w:color w:val="000000"/>
              </w:rPr>
            </w:pPr>
            <w:r>
              <w:rPr>
                <w:color w:val="FF0000"/>
                <w:sz w:val="20"/>
                <w:szCs w:val="20"/>
                <w:lang w:val="x-none"/>
              </w:rPr>
              <w:t>&lt;text unchanged are omitted&gt;</w:t>
            </w:r>
          </w:p>
          <w:p w14:paraId="58D4E60B" w14:textId="77777777" w:rsidR="004B5A99" w:rsidRDefault="004B5A99" w:rsidP="004E2662">
            <w:pPr>
              <w:jc w:val="both"/>
              <w:rPr>
                <w:rFonts w:eastAsiaTheme="minorEastAsia"/>
              </w:rPr>
            </w:pPr>
          </w:p>
        </w:tc>
      </w:tr>
    </w:tbl>
    <w:p w14:paraId="2CDC349F" w14:textId="77777777" w:rsidR="00026DF9" w:rsidRDefault="00026DF9" w:rsidP="00026DF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76108C16" w14:textId="0132851F" w:rsidR="009A465E" w:rsidRPr="002926FE" w:rsidRDefault="009A465E" w:rsidP="009A465E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</w:rPr>
        <w:t>: Endorse the proposed TP above.</w:t>
      </w:r>
    </w:p>
    <w:p w14:paraId="629BFDD4" w14:textId="77777777" w:rsidR="009A465E" w:rsidRPr="00650026" w:rsidRDefault="009A465E" w:rsidP="00026DF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319B6700" w14:textId="76EABB85" w:rsidR="007A1F9E" w:rsidRDefault="007A1F9E" w:rsidP="007A1F9E">
      <w:pPr>
        <w:pStyle w:val="Heading1"/>
      </w:pPr>
      <w:r>
        <w:lastRenderedPageBreak/>
        <w:t>Conclusion</w:t>
      </w:r>
    </w:p>
    <w:p w14:paraId="26C5E5B7" w14:textId="20E7CBFA" w:rsidR="00B24932" w:rsidRDefault="00C5179C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>In this contribution, we shared our views on whether the first PUSCH coming with the activation DCI is considered as a CG or DG,</w:t>
      </w:r>
      <w:r w:rsidR="00AC2E43">
        <w:t xml:space="preserve"> </w:t>
      </w:r>
      <w:r w:rsidR="00ED7824">
        <w:t>to</w:t>
      </w:r>
      <w:r w:rsidR="00AC2E43">
        <w:t xml:space="preserve"> determine reference cell </w:t>
      </w:r>
      <w:r w:rsidR="00ED7824">
        <w:t>symbol direction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observation and proposals are made</w:t>
      </w:r>
      <w:r w:rsidR="00620C29">
        <w:rPr>
          <w:lang w:val="en-US" w:eastAsia="zh-CN"/>
        </w:rPr>
        <w:t>:</w:t>
      </w:r>
    </w:p>
    <w:p w14:paraId="3215A29D" w14:textId="77777777" w:rsidR="00ED7824" w:rsidRDefault="00ED7824" w:rsidP="00ED7824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>
        <w:rPr>
          <w:b/>
          <w:bCs/>
          <w:i/>
          <w:iCs/>
          <w:lang w:val="en-US" w:eastAsia="zh-CN"/>
        </w:rPr>
        <w:t>Observation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 xml:space="preserve">for a half-duplex UE in TDD CA, reference cell symbol direction cannot be determined dynamically. </w:t>
      </w:r>
    </w:p>
    <w:p w14:paraId="030C3509" w14:textId="77777777" w:rsidR="00ED7824" w:rsidRDefault="00ED7824" w:rsidP="00ED7824">
      <w:pPr>
        <w:jc w:val="both"/>
        <w:rPr>
          <w:sz w:val="20"/>
          <w:szCs w:val="20"/>
        </w:rPr>
      </w:pPr>
    </w:p>
    <w:p w14:paraId="5370FD26" w14:textId="77777777" w:rsidR="00ED7824" w:rsidRPr="002926FE" w:rsidRDefault="00ED7824" w:rsidP="00ED7824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</w:rPr>
        <w:t>UE is not expected to determine r</w:t>
      </w:r>
      <w:r w:rsidRPr="00062630">
        <w:rPr>
          <w:b/>
          <w:bCs/>
          <w:i/>
          <w:iCs/>
        </w:rPr>
        <w:t>eference cell symbol direction for a half-duplex UE in TDD CA</w:t>
      </w:r>
      <w:r>
        <w:rPr>
          <w:b/>
          <w:bCs/>
          <w:i/>
          <w:iCs/>
        </w:rPr>
        <w:t xml:space="preserve"> based on the first Type-2 CG PUSCH on the reference cell.</w:t>
      </w:r>
    </w:p>
    <w:p w14:paraId="7631A6E1" w14:textId="77777777" w:rsidR="00ED7824" w:rsidRDefault="00ED7824" w:rsidP="00ED782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69DBEEB6" w14:textId="77777777" w:rsidR="00ED7824" w:rsidRPr="002926FE" w:rsidRDefault="00ED7824" w:rsidP="00ED7824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</w:rPr>
        <w:t>: Endorse the proposed TP above.</w:t>
      </w: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7BF88FF2" w14:textId="039562F0" w:rsidR="00292F2A" w:rsidRPr="00292F2A" w:rsidRDefault="003D5067" w:rsidP="00292F2A">
      <w:pPr>
        <w:pStyle w:val="ListParagraph"/>
        <w:numPr>
          <w:ilvl w:val="0"/>
          <w:numId w:val="14"/>
        </w:numPr>
        <w:ind w:leftChars="0"/>
        <w:jc w:val="both"/>
      </w:pPr>
      <w:r w:rsidRPr="003D5067">
        <w:rPr>
          <w:szCs w:val="20"/>
          <w:lang w:val="en-US"/>
        </w:rPr>
        <w:t>R1-2312341</w:t>
      </w:r>
      <w:r w:rsidR="00292F2A" w:rsidRPr="003D5067">
        <w:rPr>
          <w:szCs w:val="20"/>
        </w:rPr>
        <w:tab/>
      </w:r>
      <w:r w:rsidR="00292F2A">
        <w:rPr>
          <w:szCs w:val="20"/>
        </w:rPr>
        <w:t>, “</w:t>
      </w:r>
      <w:r w:rsidRPr="003D5067">
        <w:rPr>
          <w:szCs w:val="20"/>
          <w:lang w:val="en-US"/>
        </w:rPr>
        <w:t>Moderator summary #1 of clarifying several ambiguities with type 2 CG-PUSCH</w:t>
      </w:r>
      <w:r w:rsidR="00292F2A">
        <w:rPr>
          <w:szCs w:val="20"/>
        </w:rPr>
        <w:t xml:space="preserve">”, </w:t>
      </w:r>
      <w:r w:rsidR="00292F2A" w:rsidRPr="00292F2A">
        <w:rPr>
          <w:szCs w:val="20"/>
        </w:rPr>
        <w:t>Moderator (Qualcomm)</w:t>
      </w:r>
      <w:r w:rsidR="00292F2A">
        <w:rPr>
          <w:szCs w:val="20"/>
        </w:rPr>
        <w:t xml:space="preserve">, </w:t>
      </w:r>
      <w:r>
        <w:rPr>
          <w:szCs w:val="20"/>
        </w:rPr>
        <w:t>Nov</w:t>
      </w:r>
      <w:r w:rsidR="00292F2A">
        <w:rPr>
          <w:szCs w:val="20"/>
        </w:rPr>
        <w:t>. 2023</w:t>
      </w:r>
    </w:p>
    <w:p w14:paraId="675A7DF5" w14:textId="6C125781" w:rsidR="00292F2A" w:rsidRPr="00292F2A" w:rsidRDefault="00292F2A" w:rsidP="00292F2A">
      <w:pPr>
        <w:pStyle w:val="ListParagraph"/>
        <w:numPr>
          <w:ilvl w:val="0"/>
          <w:numId w:val="14"/>
        </w:numPr>
        <w:ind w:leftChars="0"/>
        <w:jc w:val="both"/>
      </w:pPr>
      <w:r>
        <w:t>Chair’s notes, RAN1#11</w:t>
      </w:r>
      <w:r w:rsidR="003D5067">
        <w:t>5</w:t>
      </w:r>
      <w:r>
        <w:t xml:space="preserve">, </w:t>
      </w:r>
      <w:r w:rsidR="003D5067">
        <w:t>Chicago</w:t>
      </w:r>
      <w:r w:rsidRPr="00292F2A">
        <w:t xml:space="preserve">, </w:t>
      </w:r>
      <w:r w:rsidR="003D5067">
        <w:t>USA</w:t>
      </w:r>
      <w:r w:rsidRPr="00292F2A">
        <w:t xml:space="preserve">, </w:t>
      </w:r>
      <w:r w:rsidR="003D5067">
        <w:t>Nov</w:t>
      </w:r>
      <w:r>
        <w:t>.</w:t>
      </w:r>
      <w:r w:rsidRPr="00292F2A">
        <w:t xml:space="preserve"> 2023</w:t>
      </w:r>
    </w:p>
    <w:p w14:paraId="60701FC9" w14:textId="159F193E" w:rsidR="00292F2A" w:rsidRPr="00EC6857" w:rsidRDefault="00292F2A" w:rsidP="00292F2A">
      <w:pPr>
        <w:pStyle w:val="ListParagraph"/>
        <w:ind w:leftChars="0" w:left="420" w:firstLine="0"/>
        <w:jc w:val="both"/>
      </w:pP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493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2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1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39"/>
  </w:num>
  <w:num w:numId="9" w16cid:durableId="1560631235">
    <w:abstractNumId w:val="4"/>
  </w:num>
  <w:num w:numId="10" w16cid:durableId="1957518174">
    <w:abstractNumId w:val="38"/>
  </w:num>
  <w:num w:numId="11" w16cid:durableId="148325099">
    <w:abstractNumId w:val="46"/>
  </w:num>
  <w:num w:numId="12" w16cid:durableId="1367829081">
    <w:abstractNumId w:val="4"/>
  </w:num>
  <w:num w:numId="13" w16cid:durableId="1458793434">
    <w:abstractNumId w:val="29"/>
  </w:num>
  <w:num w:numId="14" w16cid:durableId="112099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19"/>
  </w:num>
  <w:num w:numId="19" w16cid:durableId="1755737952">
    <w:abstractNumId w:val="9"/>
  </w:num>
  <w:num w:numId="20" w16cid:durableId="700521599">
    <w:abstractNumId w:val="37"/>
  </w:num>
  <w:num w:numId="21" w16cid:durableId="2035374549">
    <w:abstractNumId w:val="10"/>
  </w:num>
  <w:num w:numId="22" w16cid:durableId="1385983104">
    <w:abstractNumId w:val="28"/>
  </w:num>
  <w:num w:numId="23" w16cid:durableId="2111394000">
    <w:abstractNumId w:val="8"/>
  </w:num>
  <w:num w:numId="24" w16cid:durableId="904952020">
    <w:abstractNumId w:val="25"/>
  </w:num>
  <w:num w:numId="25" w16cid:durableId="228393210">
    <w:abstractNumId w:val="18"/>
  </w:num>
  <w:num w:numId="26" w16cid:durableId="1508012121">
    <w:abstractNumId w:val="35"/>
  </w:num>
  <w:num w:numId="27" w16cid:durableId="1100099850">
    <w:abstractNumId w:val="2"/>
  </w:num>
  <w:num w:numId="28" w16cid:durableId="1474060407">
    <w:abstractNumId w:val="40"/>
  </w:num>
  <w:num w:numId="29" w16cid:durableId="557320135">
    <w:abstractNumId w:val="49"/>
  </w:num>
  <w:num w:numId="30" w16cid:durableId="774524779">
    <w:abstractNumId w:val="44"/>
  </w:num>
  <w:num w:numId="31" w16cid:durableId="1303388064">
    <w:abstractNumId w:val="5"/>
  </w:num>
  <w:num w:numId="32" w16cid:durableId="2106264989">
    <w:abstractNumId w:val="45"/>
  </w:num>
  <w:num w:numId="33" w16cid:durableId="14965687">
    <w:abstractNumId w:val="43"/>
  </w:num>
  <w:num w:numId="34" w16cid:durableId="792139529">
    <w:abstractNumId w:val="11"/>
  </w:num>
  <w:num w:numId="35" w16cid:durableId="1352029675">
    <w:abstractNumId w:val="33"/>
  </w:num>
  <w:num w:numId="36" w16cid:durableId="107086666">
    <w:abstractNumId w:val="41"/>
  </w:num>
  <w:num w:numId="37" w16cid:durableId="674117945">
    <w:abstractNumId w:val="3"/>
  </w:num>
  <w:num w:numId="38" w16cid:durableId="1174614123">
    <w:abstractNumId w:val="20"/>
  </w:num>
  <w:num w:numId="39" w16cid:durableId="1518932891">
    <w:abstractNumId w:val="47"/>
  </w:num>
  <w:num w:numId="40" w16cid:durableId="872035900">
    <w:abstractNumId w:val="24"/>
  </w:num>
  <w:num w:numId="41" w16cid:durableId="162280276">
    <w:abstractNumId w:val="34"/>
  </w:num>
  <w:num w:numId="42" w16cid:durableId="1006978005">
    <w:abstractNumId w:val="27"/>
  </w:num>
  <w:num w:numId="43" w16cid:durableId="850683596">
    <w:abstractNumId w:val="36"/>
  </w:num>
  <w:num w:numId="44" w16cid:durableId="1574855330">
    <w:abstractNumId w:val="17"/>
  </w:num>
  <w:num w:numId="45" w16cid:durableId="926378158">
    <w:abstractNumId w:val="22"/>
  </w:num>
  <w:num w:numId="46" w16cid:durableId="151455293">
    <w:abstractNumId w:val="31"/>
  </w:num>
  <w:num w:numId="47" w16cid:durableId="2069767649">
    <w:abstractNumId w:val="23"/>
  </w:num>
  <w:num w:numId="48" w16cid:durableId="1842501920">
    <w:abstractNumId w:val="48"/>
  </w:num>
  <w:num w:numId="49" w16cid:durableId="2089956544">
    <w:abstractNumId w:val="32"/>
  </w:num>
  <w:num w:numId="50" w16cid:durableId="1315060145">
    <w:abstractNumId w:val="26"/>
  </w:num>
  <w:num w:numId="51" w16cid:durableId="60906419">
    <w:abstractNumId w:val="4"/>
  </w:num>
  <w:num w:numId="52" w16cid:durableId="374741205">
    <w:abstractNumId w:val="30"/>
  </w:num>
  <w:num w:numId="53" w16cid:durableId="1467966988">
    <w:abstractNumId w:val="16"/>
  </w:num>
  <w:num w:numId="54" w16cid:durableId="149514165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2E99"/>
    <w:rsid w:val="006049AA"/>
    <w:rsid w:val="00604C3D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48D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2075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307</cp:revision>
  <dcterms:created xsi:type="dcterms:W3CDTF">2022-04-11T01:34:00Z</dcterms:created>
  <dcterms:modified xsi:type="dcterms:W3CDTF">2024-02-15T23:51:00Z</dcterms:modified>
</cp:coreProperties>
</file>